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93" w:rsidRPr="008C3410" w:rsidRDefault="0082774E" w:rsidP="004341D2">
      <w:pPr>
        <w:pStyle w:val="Default"/>
        <w:rPr>
          <w:rFonts w:ascii="Arial" w:hAnsi="Arial" w:cs="Arial"/>
          <w:b/>
          <w:sz w:val="28"/>
          <w:szCs w:val="28"/>
        </w:rPr>
      </w:pPr>
      <w:r w:rsidRPr="002B3693">
        <w:rPr>
          <w:rFonts w:ascii="Arial" w:hAnsi="Arial" w:cs="Arial"/>
        </w:rPr>
        <w:t xml:space="preserve"> </w:t>
      </w:r>
      <w:r w:rsidR="002B3693" w:rsidRPr="008C3410">
        <w:rPr>
          <w:rFonts w:ascii="Arial" w:hAnsi="Arial" w:cs="Arial"/>
          <w:b/>
          <w:sz w:val="28"/>
          <w:szCs w:val="28"/>
        </w:rPr>
        <w:t xml:space="preserve">Honeybee Husbandry Survey </w:t>
      </w:r>
      <w:r w:rsidR="005F0ADF" w:rsidRPr="008C3410">
        <w:rPr>
          <w:rFonts w:ascii="Arial" w:hAnsi="Arial" w:cs="Arial"/>
          <w:b/>
          <w:sz w:val="28"/>
          <w:szCs w:val="28"/>
        </w:rPr>
        <w:t>20</w:t>
      </w:r>
      <w:r w:rsidR="002B3693" w:rsidRPr="008C3410">
        <w:rPr>
          <w:rFonts w:ascii="Arial" w:hAnsi="Arial" w:cs="Arial"/>
          <w:b/>
          <w:sz w:val="28"/>
          <w:szCs w:val="28"/>
        </w:rPr>
        <w:t>1</w:t>
      </w:r>
      <w:r w:rsidR="008C3410">
        <w:rPr>
          <w:rFonts w:ascii="Arial" w:hAnsi="Arial" w:cs="Arial"/>
          <w:b/>
          <w:sz w:val="28"/>
          <w:szCs w:val="28"/>
        </w:rPr>
        <w:t>5/1</w:t>
      </w:r>
      <w:r w:rsidR="002B3693" w:rsidRPr="008C3410">
        <w:rPr>
          <w:rFonts w:ascii="Arial" w:hAnsi="Arial" w:cs="Arial"/>
          <w:b/>
          <w:sz w:val="28"/>
          <w:szCs w:val="28"/>
        </w:rPr>
        <w:t>6</w:t>
      </w:r>
    </w:p>
    <w:p w:rsidR="004341D2" w:rsidRPr="002B3693" w:rsidRDefault="004341D2" w:rsidP="004341D2">
      <w:pPr>
        <w:pStyle w:val="Default"/>
        <w:rPr>
          <w:rFonts w:ascii="Arial" w:hAnsi="Arial" w:cs="Arial"/>
          <w:sz w:val="28"/>
          <w:szCs w:val="28"/>
        </w:rPr>
      </w:pPr>
    </w:p>
    <w:p w:rsidR="002B3693" w:rsidRPr="005F0ADF" w:rsidRDefault="002B3693" w:rsidP="002B3693">
      <w:pPr>
        <w:pStyle w:val="CM2"/>
        <w:spacing w:after="342" w:line="343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5F0ADF">
        <w:rPr>
          <w:rFonts w:ascii="Arial" w:hAnsi="Arial" w:cs="Arial"/>
          <w:color w:val="000000"/>
          <w:sz w:val="28"/>
          <w:szCs w:val="28"/>
          <w:u w:val="single"/>
        </w:rPr>
        <w:t xml:space="preserve">Summary </w:t>
      </w:r>
    </w:p>
    <w:p w:rsidR="002B3693" w:rsidRPr="002B3693" w:rsidRDefault="002B3693" w:rsidP="002B3693">
      <w:pPr>
        <w:pStyle w:val="CM2"/>
        <w:spacing w:after="342" w:line="34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B3693">
        <w:rPr>
          <w:rFonts w:ascii="Arial" w:hAnsi="Arial" w:cs="Arial"/>
          <w:color w:val="000000"/>
          <w:sz w:val="28"/>
          <w:szCs w:val="28"/>
        </w:rPr>
        <w:t xml:space="preserve">This is the </w:t>
      </w:r>
      <w:r>
        <w:rPr>
          <w:rFonts w:ascii="Arial" w:hAnsi="Arial" w:cs="Arial"/>
          <w:color w:val="000000"/>
          <w:sz w:val="28"/>
          <w:szCs w:val="28"/>
        </w:rPr>
        <w:t>eigh</w:t>
      </w:r>
      <w:r w:rsidRPr="002B3693">
        <w:rPr>
          <w:rFonts w:ascii="Arial" w:hAnsi="Arial" w:cs="Arial"/>
          <w:color w:val="000000"/>
          <w:sz w:val="28"/>
          <w:szCs w:val="28"/>
        </w:rPr>
        <w:t>th consecutive survey of beekeeping husbandry issues in Northern Ireland. A questionnaire survey was sent out hardcopy to beekeeping associations and an online copy made a</w:t>
      </w:r>
      <w:r w:rsidR="005C5EFF">
        <w:rPr>
          <w:rFonts w:ascii="Arial" w:hAnsi="Arial" w:cs="Arial"/>
          <w:color w:val="000000"/>
          <w:sz w:val="28"/>
          <w:szCs w:val="28"/>
        </w:rPr>
        <w:t>vailable on the AFBI website. 93</w:t>
      </w:r>
      <w:r w:rsidR="00043731">
        <w:rPr>
          <w:rFonts w:ascii="Arial" w:hAnsi="Arial" w:cs="Arial"/>
          <w:color w:val="000000"/>
          <w:sz w:val="28"/>
          <w:szCs w:val="28"/>
        </w:rPr>
        <w:t xml:space="preserve"> beekeepers </w:t>
      </w:r>
      <w:r w:rsidR="00F8327D">
        <w:rPr>
          <w:rFonts w:ascii="Arial" w:hAnsi="Arial" w:cs="Arial"/>
          <w:color w:val="000000"/>
          <w:sz w:val="28"/>
          <w:szCs w:val="28"/>
        </w:rPr>
        <w:t xml:space="preserve">in total </w:t>
      </w:r>
      <w:r w:rsidR="00043731">
        <w:rPr>
          <w:rFonts w:ascii="Arial" w:hAnsi="Arial" w:cs="Arial"/>
          <w:color w:val="000000"/>
          <w:sz w:val="28"/>
          <w:szCs w:val="28"/>
        </w:rPr>
        <w:t>responded.</w:t>
      </w:r>
    </w:p>
    <w:p w:rsidR="00B50188" w:rsidRDefault="002B3693" w:rsidP="002B3693">
      <w:pPr>
        <w:rPr>
          <w:rFonts w:ascii="Arial" w:hAnsi="Arial" w:cs="Arial"/>
          <w:color w:val="000000"/>
          <w:sz w:val="28"/>
          <w:szCs w:val="28"/>
        </w:rPr>
      </w:pPr>
      <w:r w:rsidRPr="002B3693">
        <w:rPr>
          <w:rFonts w:ascii="Arial" w:hAnsi="Arial" w:cs="Arial"/>
          <w:color w:val="000000"/>
          <w:sz w:val="28"/>
          <w:szCs w:val="28"/>
        </w:rPr>
        <w:t>Overwin</w:t>
      </w:r>
      <w:r w:rsidR="008C3410">
        <w:rPr>
          <w:rFonts w:ascii="Arial" w:hAnsi="Arial" w:cs="Arial"/>
          <w:color w:val="000000"/>
          <w:sz w:val="28"/>
          <w:szCs w:val="28"/>
        </w:rPr>
        <w:t>tering colony losses averaged 31</w:t>
      </w:r>
      <w:r w:rsidRPr="002B3693">
        <w:rPr>
          <w:rFonts w:ascii="Arial" w:hAnsi="Arial" w:cs="Arial"/>
          <w:color w:val="000000"/>
          <w:sz w:val="28"/>
          <w:szCs w:val="28"/>
        </w:rPr>
        <w:t>%.</w:t>
      </w:r>
      <w:r w:rsidR="00F832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3693">
        <w:rPr>
          <w:rFonts w:ascii="Arial" w:hAnsi="Arial" w:cs="Arial"/>
          <w:color w:val="000000"/>
          <w:sz w:val="28"/>
          <w:szCs w:val="28"/>
        </w:rPr>
        <w:t xml:space="preserve">Comparable </w:t>
      </w:r>
      <w:r w:rsidR="004341D2">
        <w:rPr>
          <w:rFonts w:ascii="Arial" w:hAnsi="Arial" w:cs="Arial"/>
          <w:color w:val="000000"/>
          <w:sz w:val="28"/>
          <w:szCs w:val="28"/>
        </w:rPr>
        <w:t xml:space="preserve">2016 </w:t>
      </w:r>
      <w:r w:rsidRPr="002B3693">
        <w:rPr>
          <w:rFonts w:ascii="Arial" w:hAnsi="Arial" w:cs="Arial"/>
          <w:color w:val="000000"/>
          <w:sz w:val="28"/>
          <w:szCs w:val="28"/>
        </w:rPr>
        <w:t xml:space="preserve">surveys from </w:t>
      </w:r>
      <w:proofErr w:type="spellStart"/>
      <w:r w:rsidRPr="002B3693">
        <w:rPr>
          <w:rFonts w:ascii="Arial" w:hAnsi="Arial" w:cs="Arial"/>
          <w:color w:val="000000"/>
          <w:sz w:val="28"/>
          <w:szCs w:val="28"/>
        </w:rPr>
        <w:t>RoI</w:t>
      </w:r>
      <w:proofErr w:type="spellEnd"/>
      <w:r w:rsidR="008105BC">
        <w:rPr>
          <w:rFonts w:ascii="Arial" w:hAnsi="Arial" w:cs="Arial"/>
          <w:color w:val="000000"/>
          <w:sz w:val="28"/>
          <w:szCs w:val="28"/>
        </w:rPr>
        <w:t>, Wales</w:t>
      </w:r>
      <w:r w:rsidRPr="002B3693">
        <w:rPr>
          <w:rFonts w:ascii="Arial" w:hAnsi="Arial" w:cs="Arial"/>
          <w:color w:val="000000"/>
          <w:sz w:val="28"/>
          <w:szCs w:val="28"/>
        </w:rPr>
        <w:t xml:space="preserve"> and Scotland gave </w:t>
      </w:r>
      <w:r w:rsidR="008105BC">
        <w:rPr>
          <w:rFonts w:ascii="Arial" w:hAnsi="Arial" w:cs="Arial"/>
          <w:sz w:val="28"/>
          <w:szCs w:val="28"/>
        </w:rPr>
        <w:t>30</w:t>
      </w:r>
      <w:r w:rsidR="008105BC">
        <w:rPr>
          <w:rFonts w:ascii="Arial" w:hAnsi="Arial" w:cs="Arial"/>
          <w:color w:val="000000"/>
          <w:sz w:val="28"/>
          <w:szCs w:val="28"/>
        </w:rPr>
        <w:t>%</w:t>
      </w:r>
      <w:r w:rsidR="00472785" w:rsidRPr="00472785">
        <w:rPr>
          <w:rFonts w:ascii="Arial" w:hAnsi="Arial" w:cs="Arial"/>
          <w:b/>
          <w:color w:val="000000"/>
          <w:sz w:val="28"/>
          <w:szCs w:val="28"/>
        </w:rPr>
        <w:t>*</w:t>
      </w:r>
      <w:r w:rsidR="008105BC">
        <w:rPr>
          <w:rFonts w:ascii="Arial" w:hAnsi="Arial" w:cs="Arial"/>
          <w:color w:val="000000"/>
          <w:sz w:val="28"/>
          <w:szCs w:val="28"/>
        </w:rPr>
        <w:t>, 22%</w:t>
      </w:r>
      <w:r w:rsidR="00472785" w:rsidRPr="00472785">
        <w:rPr>
          <w:rFonts w:ascii="Arial" w:hAnsi="Arial" w:cs="Arial"/>
          <w:b/>
          <w:color w:val="000000"/>
          <w:sz w:val="28"/>
          <w:szCs w:val="28"/>
        </w:rPr>
        <w:t>*</w:t>
      </w:r>
      <w:r w:rsidR="008105BC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3693">
        <w:rPr>
          <w:rFonts w:ascii="Arial" w:hAnsi="Arial" w:cs="Arial"/>
          <w:color w:val="000000"/>
          <w:sz w:val="28"/>
          <w:szCs w:val="28"/>
        </w:rPr>
        <w:t>and</w:t>
      </w:r>
      <w:r w:rsidR="008105BC">
        <w:rPr>
          <w:rFonts w:ascii="Arial" w:hAnsi="Arial" w:cs="Arial"/>
          <w:color w:val="000000"/>
          <w:sz w:val="28"/>
          <w:szCs w:val="28"/>
        </w:rPr>
        <w:t xml:space="preserve"> </w:t>
      </w:r>
      <w:r w:rsidR="00F8327D" w:rsidRPr="00F8327D">
        <w:rPr>
          <w:rFonts w:ascii="Arial" w:hAnsi="Arial" w:cs="Arial"/>
          <w:sz w:val="28"/>
          <w:szCs w:val="28"/>
        </w:rPr>
        <w:t>18</w:t>
      </w:r>
      <w:r w:rsidR="00C11326">
        <w:rPr>
          <w:rFonts w:ascii="Arial" w:hAnsi="Arial" w:cs="Arial"/>
          <w:color w:val="000000"/>
          <w:sz w:val="28"/>
          <w:szCs w:val="28"/>
        </w:rPr>
        <w:t>%</w:t>
      </w:r>
      <w:r w:rsidR="00472785" w:rsidRPr="00472785">
        <w:rPr>
          <w:rFonts w:ascii="Arial" w:hAnsi="Arial" w:cs="Arial"/>
          <w:b/>
          <w:color w:val="000000"/>
          <w:sz w:val="28"/>
          <w:szCs w:val="28"/>
        </w:rPr>
        <w:t>*</w:t>
      </w:r>
      <w:r w:rsidR="00C11326">
        <w:rPr>
          <w:rFonts w:ascii="Arial" w:hAnsi="Arial" w:cs="Arial"/>
          <w:color w:val="000000"/>
          <w:sz w:val="28"/>
          <w:szCs w:val="28"/>
        </w:rPr>
        <w:t xml:space="preserve"> losses, respectively. </w:t>
      </w:r>
    </w:p>
    <w:p w:rsidR="0082774E" w:rsidRDefault="00C11326" w:rsidP="002B369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41</w:t>
      </w:r>
      <w:r w:rsidR="002B3693" w:rsidRPr="002B3693">
        <w:rPr>
          <w:rFonts w:ascii="Arial" w:hAnsi="Arial" w:cs="Arial"/>
          <w:color w:val="000000"/>
          <w:sz w:val="28"/>
          <w:szCs w:val="28"/>
        </w:rPr>
        <w:t xml:space="preserve">% of </w:t>
      </w:r>
      <w:r w:rsidR="00647E8A">
        <w:rPr>
          <w:rFonts w:ascii="Arial" w:hAnsi="Arial" w:cs="Arial"/>
          <w:color w:val="000000"/>
          <w:sz w:val="28"/>
          <w:szCs w:val="28"/>
        </w:rPr>
        <w:t xml:space="preserve">NI </w:t>
      </w:r>
      <w:r w:rsidR="002B3693" w:rsidRPr="002B3693">
        <w:rPr>
          <w:rFonts w:ascii="Arial" w:hAnsi="Arial" w:cs="Arial"/>
          <w:color w:val="000000"/>
          <w:sz w:val="28"/>
          <w:szCs w:val="28"/>
        </w:rPr>
        <w:t xml:space="preserve">beekeepers </w:t>
      </w:r>
      <w:r w:rsidR="00FF652B">
        <w:rPr>
          <w:rFonts w:ascii="Arial" w:hAnsi="Arial" w:cs="Arial"/>
          <w:color w:val="000000"/>
          <w:sz w:val="28"/>
          <w:szCs w:val="28"/>
        </w:rPr>
        <w:t xml:space="preserve">surveyed </w:t>
      </w:r>
      <w:r w:rsidR="002B3693" w:rsidRPr="002B3693">
        <w:rPr>
          <w:rFonts w:ascii="Arial" w:hAnsi="Arial" w:cs="Arial"/>
          <w:color w:val="000000"/>
          <w:sz w:val="28"/>
          <w:szCs w:val="28"/>
        </w:rPr>
        <w:t xml:space="preserve">reported no losses. </w:t>
      </w:r>
      <w:r w:rsidR="00B95A9A">
        <w:rPr>
          <w:rFonts w:ascii="Arial" w:hAnsi="Arial" w:cs="Arial"/>
          <w:color w:val="000000"/>
          <w:sz w:val="28"/>
          <w:szCs w:val="28"/>
        </w:rPr>
        <w:t>The highest o</w:t>
      </w:r>
      <w:r w:rsidR="00B95A9A" w:rsidRPr="002B3693">
        <w:rPr>
          <w:rFonts w:ascii="Arial" w:hAnsi="Arial" w:cs="Arial"/>
          <w:color w:val="000000"/>
          <w:sz w:val="28"/>
          <w:szCs w:val="28"/>
        </w:rPr>
        <w:t>verwin</w:t>
      </w:r>
      <w:r w:rsidR="00B95A9A">
        <w:rPr>
          <w:rFonts w:ascii="Arial" w:hAnsi="Arial" w:cs="Arial"/>
          <w:color w:val="000000"/>
          <w:sz w:val="28"/>
          <w:szCs w:val="28"/>
        </w:rPr>
        <w:t>tering colony loss to date was 43% in 2013.</w:t>
      </w:r>
    </w:p>
    <w:p w:rsidR="005F0ADF" w:rsidRPr="005C6430" w:rsidRDefault="005F0ADF" w:rsidP="002B3693">
      <w:pPr>
        <w:rPr>
          <w:rFonts w:ascii="Arial" w:hAnsi="Arial" w:cs="Arial"/>
          <w:color w:val="000000"/>
          <w:sz w:val="28"/>
          <w:szCs w:val="28"/>
        </w:rPr>
      </w:pPr>
    </w:p>
    <w:p w:rsidR="003F30D2" w:rsidRPr="005C6430" w:rsidRDefault="003F30D2" w:rsidP="003F30D2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5C6430">
        <w:rPr>
          <w:rFonts w:ascii="Arial" w:hAnsi="Arial" w:cs="Arial"/>
          <w:color w:val="000000"/>
          <w:sz w:val="28"/>
          <w:szCs w:val="28"/>
        </w:rPr>
        <w:t>Table 1.</w:t>
      </w:r>
      <w:proofErr w:type="gramEnd"/>
      <w:r w:rsidRPr="005C6430">
        <w:rPr>
          <w:rFonts w:ascii="Arial" w:hAnsi="Arial" w:cs="Arial"/>
          <w:color w:val="000000"/>
          <w:sz w:val="28"/>
          <w:szCs w:val="28"/>
        </w:rPr>
        <w:t xml:space="preserve"> Regional overwintering colony losses in Northern Ireland for 2016.</w:t>
      </w:r>
    </w:p>
    <w:tbl>
      <w:tblPr>
        <w:tblStyle w:val="TableClassic3"/>
        <w:tblpPr w:leftFromText="180" w:rightFromText="180" w:vertAnchor="text" w:horzAnchor="margin" w:tblpY="240"/>
        <w:tblOverlap w:val="never"/>
        <w:tblW w:w="0" w:type="auto"/>
        <w:tblLook w:val="04A0"/>
      </w:tblPr>
      <w:tblGrid>
        <w:gridCol w:w="2462"/>
        <w:gridCol w:w="2462"/>
        <w:gridCol w:w="2462"/>
        <w:gridCol w:w="2462"/>
      </w:tblGrid>
      <w:tr w:rsidR="004341D2" w:rsidRPr="005C6430" w:rsidTr="004341D2">
        <w:trPr>
          <w:cnfStyle w:val="100000000000"/>
        </w:trPr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sz w:val="28"/>
                <w:szCs w:val="28"/>
              </w:rPr>
            </w:pPr>
            <w:r w:rsidRPr="005C6430">
              <w:rPr>
                <w:rFonts w:ascii="Arial" w:hAnsi="Arial" w:cs="Arial"/>
                <w:sz w:val="28"/>
                <w:szCs w:val="28"/>
              </w:rPr>
              <w:t>County</w:t>
            </w: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4341D2">
              <w:rPr>
                <w:rFonts w:ascii="Arial" w:hAnsi="Arial" w:cs="Arial"/>
                <w:sz w:val="28"/>
                <w:szCs w:val="28"/>
              </w:rPr>
              <w:t>Production colonies live before winter</w:t>
            </w: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341D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Colonies lost due to death/queen problems</w:t>
            </w:r>
          </w:p>
          <w:p w:rsidR="004341D2" w:rsidRPr="005C6430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4341D2">
              <w:rPr>
                <w:rFonts w:ascii="Arial" w:hAnsi="Arial" w:cs="Arial"/>
                <w:sz w:val="28"/>
                <w:szCs w:val="28"/>
              </w:rPr>
              <w:t>% loss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Antrim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87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25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29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Armagh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75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19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25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Down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245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87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35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Fermanagh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40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12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30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Londonderry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7</w:t>
            </w:r>
            <w:r w:rsidR="00B70E8B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19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26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Tyrone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15</w:t>
            </w:r>
          </w:p>
        </w:tc>
        <w:tc>
          <w:tcPr>
            <w:tcW w:w="2462" w:type="dxa"/>
          </w:tcPr>
          <w:p w:rsidR="004341D2" w:rsidRPr="005C6430" w:rsidRDefault="00D31E94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  </w:t>
            </w:r>
            <w:r w:rsidR="004341D2" w:rsidRPr="005C6430">
              <w:rPr>
                <w:rFonts w:ascii="Arial" w:hAnsi="Arial" w:cs="Arial"/>
                <w:color w:val="auto"/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color w:val="auto"/>
                <w:sz w:val="28"/>
                <w:szCs w:val="28"/>
              </w:rPr>
              <w:t>33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sz w:val="28"/>
                <w:szCs w:val="28"/>
              </w:rPr>
            </w:pPr>
            <w:r w:rsidRPr="005C6430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b/>
                <w:color w:val="auto"/>
                <w:sz w:val="28"/>
                <w:szCs w:val="28"/>
              </w:rPr>
              <w:t>53</w:t>
            </w:r>
            <w:r w:rsidR="00B70E8B">
              <w:rPr>
                <w:rFonts w:ascii="Arial" w:hAnsi="Arial" w:cs="Arial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b/>
                <w:color w:val="auto"/>
                <w:sz w:val="28"/>
                <w:szCs w:val="28"/>
              </w:rPr>
              <w:t>167</w:t>
            </w:r>
            <w:r w:rsidR="00B70E8B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   </w:t>
            </w:r>
          </w:p>
        </w:tc>
        <w:tc>
          <w:tcPr>
            <w:tcW w:w="2462" w:type="dxa"/>
          </w:tcPr>
          <w:p w:rsidR="004341D2" w:rsidRPr="005C6430" w:rsidRDefault="004341D2" w:rsidP="004341D2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C6430">
              <w:rPr>
                <w:rFonts w:ascii="Arial" w:hAnsi="Arial" w:cs="Arial"/>
                <w:b/>
                <w:color w:val="auto"/>
                <w:sz w:val="28"/>
                <w:szCs w:val="28"/>
              </w:rPr>
              <w:t>31</w:t>
            </w:r>
          </w:p>
        </w:tc>
      </w:tr>
    </w:tbl>
    <w:p w:rsidR="003F30D2" w:rsidRDefault="003F30D2" w:rsidP="002B3693">
      <w:pPr>
        <w:rPr>
          <w:rFonts w:ascii="Arial" w:hAnsi="Arial" w:cs="Arial"/>
        </w:rPr>
      </w:pPr>
    </w:p>
    <w:p w:rsidR="005C6430" w:rsidRDefault="005C6430" w:rsidP="005C6430">
      <w:pPr>
        <w:pStyle w:val="Default"/>
      </w:pPr>
    </w:p>
    <w:p w:rsidR="003F30D2" w:rsidRDefault="005C6430" w:rsidP="005C6430">
      <w:pPr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proofErr w:type="gramStart"/>
      <w:r w:rsidRPr="005C6430">
        <w:rPr>
          <w:rFonts w:ascii="Arial" w:hAnsi="Arial" w:cs="Arial"/>
          <w:color w:val="000000"/>
          <w:sz w:val="28"/>
          <w:szCs w:val="28"/>
        </w:rPr>
        <w:t>Table 2.</w:t>
      </w:r>
      <w:proofErr w:type="gramEnd"/>
      <w:r w:rsidRPr="005C6430">
        <w:rPr>
          <w:rFonts w:ascii="Arial" w:hAnsi="Arial" w:cs="Arial"/>
          <w:color w:val="000000"/>
          <w:sz w:val="28"/>
          <w:szCs w:val="28"/>
        </w:rPr>
        <w:t xml:space="preserve"> Annual overwintering losses in</w:t>
      </w:r>
      <w:r>
        <w:rPr>
          <w:rFonts w:ascii="Arial" w:hAnsi="Arial" w:cs="Arial"/>
          <w:color w:val="000000"/>
          <w:sz w:val="28"/>
          <w:szCs w:val="28"/>
        </w:rPr>
        <w:t xml:space="preserve"> Northern Ireland for the past 8</w:t>
      </w:r>
      <w:r w:rsidRPr="005C6430">
        <w:rPr>
          <w:rFonts w:ascii="Arial" w:hAnsi="Arial" w:cs="Arial"/>
          <w:color w:val="000000"/>
          <w:sz w:val="28"/>
          <w:szCs w:val="28"/>
        </w:rPr>
        <w:t xml:space="preserve"> years</w:t>
      </w:r>
      <w:r w:rsidR="000D7DD4">
        <w:rPr>
          <w:rFonts w:ascii="Arial" w:hAnsi="Arial" w:cs="Arial"/>
          <w:color w:val="000000"/>
          <w:sz w:val="28"/>
          <w:szCs w:val="28"/>
        </w:rPr>
        <w:t>.</w:t>
      </w:r>
    </w:p>
    <w:p w:rsidR="005C6430" w:rsidRDefault="005C6430" w:rsidP="005C6430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Classic3"/>
        <w:tblW w:w="0" w:type="auto"/>
        <w:tblInd w:w="2235" w:type="dxa"/>
        <w:tblLook w:val="04A0"/>
      </w:tblPr>
      <w:tblGrid>
        <w:gridCol w:w="2689"/>
        <w:gridCol w:w="1988"/>
      </w:tblGrid>
      <w:tr w:rsidR="005C6430" w:rsidTr="000D7DD4">
        <w:trPr>
          <w:cnfStyle w:val="100000000000"/>
        </w:trPr>
        <w:tc>
          <w:tcPr>
            <w:cnfStyle w:val="001000000000"/>
            <w:tcW w:w="2689" w:type="dxa"/>
          </w:tcPr>
          <w:p w:rsidR="005C6430" w:rsidRDefault="005C6430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988" w:type="dxa"/>
          </w:tcPr>
          <w:p w:rsidR="005C6430" w:rsidRDefault="005C6430" w:rsidP="005C6430">
            <w:pPr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Colony loss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23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16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19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43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988" w:type="dxa"/>
          </w:tcPr>
          <w:p w:rsidR="005C6430" w:rsidRPr="000D7DD4" w:rsidRDefault="000D7DD4" w:rsidP="000D7DD4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D66A42">
              <w:rPr>
                <w:rFonts w:ascii="Arial" w:hAnsi="Arial" w:cs="Arial"/>
                <w:color w:val="auto"/>
              </w:rPr>
              <w:t>9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19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0D7DD4" w:rsidTr="000D7DD4">
        <w:tc>
          <w:tcPr>
            <w:cnfStyle w:val="001000000000"/>
            <w:tcW w:w="2689" w:type="dxa"/>
          </w:tcPr>
          <w:p w:rsidR="000D7DD4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8" w:type="dxa"/>
          </w:tcPr>
          <w:p w:rsidR="000D7DD4" w:rsidRPr="000D7DD4" w:rsidRDefault="008C3410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</w:t>
            </w:r>
            <w:r w:rsidR="000D7DD4">
              <w:rPr>
                <w:rFonts w:ascii="Arial" w:hAnsi="Arial" w:cs="Arial"/>
                <w:color w:val="auto"/>
              </w:rPr>
              <w:t>%</w:t>
            </w:r>
          </w:p>
        </w:tc>
      </w:tr>
    </w:tbl>
    <w:p w:rsidR="005C6430" w:rsidRDefault="005C6430" w:rsidP="005C6430">
      <w:pPr>
        <w:rPr>
          <w:rFonts w:ascii="Arial" w:hAnsi="Arial" w:cs="Arial"/>
        </w:rPr>
      </w:pPr>
    </w:p>
    <w:p w:rsidR="00093B6B" w:rsidRDefault="002B12A5" w:rsidP="003C4680">
      <w:pPr>
        <w:pStyle w:val="CM14"/>
        <w:spacing w:after="305" w:line="3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84 colonies were found to be dead</w:t>
      </w:r>
      <w:r w:rsidRPr="00EB4964">
        <w:rPr>
          <w:rFonts w:ascii="Arial" w:hAnsi="Arial" w:cs="Arial"/>
          <w:bCs/>
          <w:sz w:val="28"/>
          <w:szCs w:val="28"/>
        </w:rPr>
        <w:t xml:space="preserve"> </w:t>
      </w:r>
      <w:r w:rsidRPr="002B3BBA">
        <w:rPr>
          <w:rFonts w:ascii="Arial" w:hAnsi="Arial" w:cs="Arial"/>
          <w:bCs/>
          <w:sz w:val="28"/>
          <w:szCs w:val="28"/>
        </w:rPr>
        <w:t>after winter 2015-2016</w:t>
      </w:r>
      <w:r w:rsidRPr="003C4680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The main reason</w:t>
      </w:r>
      <w:r w:rsidR="00093B6B">
        <w:rPr>
          <w:rFonts w:ascii="Arial" w:hAnsi="Arial" w:cs="Arial"/>
          <w:color w:val="000000"/>
          <w:sz w:val="28"/>
          <w:szCs w:val="28"/>
        </w:rPr>
        <w:t>s given were</w:t>
      </w:r>
      <w:r>
        <w:rPr>
          <w:rFonts w:ascii="Arial" w:hAnsi="Arial" w:cs="Arial"/>
          <w:color w:val="000000"/>
          <w:sz w:val="28"/>
          <w:szCs w:val="28"/>
        </w:rPr>
        <w:t xml:space="preserve"> finding dead workers in cells while food was present in the hive (36 colonies)</w:t>
      </w:r>
      <w:r w:rsidR="00093B6B">
        <w:rPr>
          <w:rFonts w:ascii="Arial" w:hAnsi="Arial" w:cs="Arial"/>
          <w:color w:val="000000"/>
          <w:sz w:val="28"/>
          <w:szCs w:val="28"/>
        </w:rPr>
        <w:t xml:space="preserve"> and </w:t>
      </w:r>
      <w:r w:rsidR="0014313A">
        <w:rPr>
          <w:rFonts w:ascii="Arial" w:hAnsi="Arial" w:cs="Arial"/>
          <w:color w:val="000000"/>
          <w:sz w:val="28"/>
          <w:szCs w:val="28"/>
        </w:rPr>
        <w:t>having no or only a few dead bees in or in front of the hive (23</w:t>
      </w:r>
      <w:r w:rsidR="00093B6B">
        <w:rPr>
          <w:rFonts w:ascii="Arial" w:hAnsi="Arial" w:cs="Arial"/>
          <w:color w:val="000000"/>
          <w:sz w:val="28"/>
          <w:szCs w:val="28"/>
        </w:rPr>
        <w:t xml:space="preserve"> colonies). </w:t>
      </w:r>
    </w:p>
    <w:p w:rsidR="00DE3FB0" w:rsidRDefault="00DE3FB0" w:rsidP="00DE3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number of production colonies increased slightly from 393 in </w:t>
      </w:r>
      <w:proofErr w:type="gramStart"/>
      <w:r>
        <w:rPr>
          <w:rFonts w:ascii="Arial" w:hAnsi="Arial" w:cs="Arial"/>
          <w:sz w:val="28"/>
          <w:szCs w:val="28"/>
        </w:rPr>
        <w:t>Spring</w:t>
      </w:r>
      <w:proofErr w:type="gramEnd"/>
      <w:r>
        <w:rPr>
          <w:rFonts w:ascii="Arial" w:hAnsi="Arial" w:cs="Arial"/>
          <w:sz w:val="28"/>
          <w:szCs w:val="28"/>
        </w:rPr>
        <w:t xml:space="preserve"> 2015 to 404 in Spring 2016.</w:t>
      </w:r>
    </w:p>
    <w:p w:rsidR="00DE3FB0" w:rsidRPr="00DE3FB0" w:rsidRDefault="00DE3FB0" w:rsidP="00DE3FB0">
      <w:pPr>
        <w:rPr>
          <w:rFonts w:ascii="Arial" w:hAnsi="Arial" w:cs="Arial"/>
          <w:sz w:val="28"/>
          <w:szCs w:val="28"/>
        </w:rPr>
      </w:pPr>
    </w:p>
    <w:p w:rsidR="00DE3FB0" w:rsidRPr="00B95A9A" w:rsidRDefault="002B3BBA" w:rsidP="00B95A9A">
      <w:pPr>
        <w:pStyle w:val="CM14"/>
        <w:spacing w:after="305" w:line="3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83 colonies were lost due to </w:t>
      </w:r>
      <w:r w:rsidR="003C4680" w:rsidRPr="003C4680">
        <w:rPr>
          <w:rFonts w:ascii="Arial" w:hAnsi="Arial" w:cs="Arial"/>
          <w:color w:val="000000"/>
          <w:sz w:val="28"/>
          <w:szCs w:val="28"/>
        </w:rPr>
        <w:t>queen</w:t>
      </w:r>
      <w:r>
        <w:rPr>
          <w:rFonts w:ascii="Arial" w:hAnsi="Arial" w:cs="Arial"/>
          <w:color w:val="000000"/>
          <w:sz w:val="28"/>
          <w:szCs w:val="28"/>
        </w:rPr>
        <w:t xml:space="preserve"> problems</w:t>
      </w:r>
      <w:r w:rsidR="00093B6B">
        <w:rPr>
          <w:rFonts w:ascii="Arial" w:hAnsi="Arial" w:cs="Arial"/>
          <w:color w:val="000000"/>
          <w:sz w:val="28"/>
          <w:szCs w:val="28"/>
        </w:rPr>
        <w:t xml:space="preserve"> while</w:t>
      </w:r>
      <w:r w:rsidR="003C4680" w:rsidRPr="003C468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139 </w:t>
      </w:r>
      <w:r w:rsidRPr="002B3BBA">
        <w:rPr>
          <w:rFonts w:ascii="Arial" w:hAnsi="Arial" w:cs="Arial"/>
          <w:bCs/>
          <w:sz w:val="28"/>
          <w:szCs w:val="28"/>
        </w:rPr>
        <w:t>of the wintered colonies were weak but queenright</w:t>
      </w:r>
      <w:r w:rsidR="00093B6B" w:rsidRPr="00093B6B">
        <w:rPr>
          <w:rFonts w:ascii="Arial" w:hAnsi="Arial" w:cs="Arial"/>
          <w:bCs/>
          <w:sz w:val="28"/>
          <w:szCs w:val="28"/>
        </w:rPr>
        <w:t xml:space="preserve"> </w:t>
      </w:r>
      <w:r w:rsidR="00093B6B" w:rsidRPr="002B3BBA">
        <w:rPr>
          <w:rFonts w:ascii="Arial" w:hAnsi="Arial" w:cs="Arial"/>
          <w:bCs/>
          <w:sz w:val="28"/>
          <w:szCs w:val="28"/>
        </w:rPr>
        <w:t>after winter 2015-2016</w:t>
      </w:r>
      <w:r w:rsidR="00093B6B" w:rsidRPr="003C4680">
        <w:rPr>
          <w:rFonts w:ascii="Arial" w:hAnsi="Arial" w:cs="Arial"/>
          <w:color w:val="000000"/>
          <w:sz w:val="28"/>
          <w:szCs w:val="28"/>
        </w:rPr>
        <w:t>.</w:t>
      </w:r>
      <w:r w:rsidR="00C65C5A">
        <w:rPr>
          <w:rFonts w:ascii="Arial" w:hAnsi="Arial" w:cs="Arial"/>
          <w:bCs/>
          <w:sz w:val="28"/>
          <w:szCs w:val="28"/>
        </w:rPr>
        <w:t xml:space="preserve"> </w:t>
      </w:r>
      <w:r w:rsidR="0066682E">
        <w:rPr>
          <w:rFonts w:ascii="Arial" w:hAnsi="Arial" w:cs="Arial"/>
          <w:color w:val="000000"/>
          <w:sz w:val="28"/>
          <w:szCs w:val="28"/>
        </w:rPr>
        <w:t>7</w:t>
      </w:r>
      <w:r w:rsidR="00C11326">
        <w:rPr>
          <w:rFonts w:ascii="Arial" w:hAnsi="Arial" w:cs="Arial"/>
          <w:color w:val="000000"/>
          <w:sz w:val="28"/>
          <w:szCs w:val="28"/>
        </w:rPr>
        <w:t>2</w:t>
      </w:r>
      <w:r w:rsidR="00C65C5A">
        <w:rPr>
          <w:rFonts w:ascii="Arial" w:hAnsi="Arial" w:cs="Arial"/>
          <w:color w:val="000000"/>
          <w:sz w:val="28"/>
          <w:szCs w:val="28"/>
        </w:rPr>
        <w:t xml:space="preserve"> beekeepers’ </w:t>
      </w:r>
      <w:r w:rsidR="0066682E">
        <w:rPr>
          <w:rFonts w:ascii="Arial" w:hAnsi="Arial" w:cs="Arial"/>
          <w:color w:val="000000"/>
          <w:sz w:val="28"/>
          <w:szCs w:val="28"/>
        </w:rPr>
        <w:t>wintered colonies had a new queen in 2015.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 </w:t>
      </w:r>
      <w:r w:rsidR="003C4680" w:rsidRPr="003C4680">
        <w:rPr>
          <w:rFonts w:ascii="Arial" w:hAnsi="Arial" w:cs="Arial"/>
          <w:color w:val="000000"/>
          <w:sz w:val="28"/>
          <w:szCs w:val="28"/>
        </w:rPr>
        <w:t xml:space="preserve">10 beekeepers imported queens from RoI or GB. </w:t>
      </w:r>
      <w:r w:rsidR="00BA3D9F">
        <w:rPr>
          <w:rFonts w:ascii="Arial" w:hAnsi="Arial" w:cs="Arial"/>
          <w:color w:val="000000"/>
          <w:sz w:val="28"/>
          <w:szCs w:val="28"/>
        </w:rPr>
        <w:t xml:space="preserve">No </w:t>
      </w:r>
      <w:r w:rsidR="003C4680" w:rsidRPr="003C4680">
        <w:rPr>
          <w:rFonts w:ascii="Arial" w:hAnsi="Arial" w:cs="Arial"/>
          <w:color w:val="000000"/>
          <w:sz w:val="28"/>
          <w:szCs w:val="28"/>
        </w:rPr>
        <w:t>beekeeper</w:t>
      </w:r>
      <w:r w:rsidR="00BA3D9F">
        <w:rPr>
          <w:rFonts w:ascii="Arial" w:hAnsi="Arial" w:cs="Arial"/>
          <w:color w:val="000000"/>
          <w:sz w:val="28"/>
          <w:szCs w:val="28"/>
        </w:rPr>
        <w:t>s</w:t>
      </w:r>
      <w:r w:rsidR="003C4680" w:rsidRPr="003C4680">
        <w:rPr>
          <w:rFonts w:ascii="Arial" w:hAnsi="Arial" w:cs="Arial"/>
          <w:color w:val="000000"/>
          <w:sz w:val="28"/>
          <w:szCs w:val="28"/>
        </w:rPr>
        <w:t xml:space="preserve"> imported queens from outside of the British Isles. </w:t>
      </w:r>
      <w:r w:rsidR="00C11326">
        <w:rPr>
          <w:rFonts w:ascii="Arial" w:hAnsi="Arial" w:cs="Arial"/>
          <w:color w:val="000000"/>
          <w:sz w:val="28"/>
          <w:szCs w:val="28"/>
        </w:rPr>
        <w:t>42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 beekeepers observed normal queen problems in their colonies in 2015 compared to what they usually had while 31 beekeepers noticed more queen problems.</w:t>
      </w:r>
      <w:r w:rsidR="005D4B0F">
        <w:rPr>
          <w:rFonts w:ascii="Arial" w:hAnsi="Arial" w:cs="Arial"/>
          <w:color w:val="000000"/>
          <w:sz w:val="28"/>
          <w:szCs w:val="28"/>
        </w:rPr>
        <w:t xml:space="preserve"> 16 beekeepers felt that compared to their colonies with old queens, their colonies with new queens had survived winter better wher</w:t>
      </w:r>
      <w:r w:rsidR="006632D9">
        <w:rPr>
          <w:rFonts w:ascii="Arial" w:hAnsi="Arial" w:cs="Arial"/>
          <w:color w:val="000000"/>
          <w:sz w:val="28"/>
          <w:szCs w:val="28"/>
        </w:rPr>
        <w:t>e</w:t>
      </w:r>
      <w:r w:rsidR="005D4B0F">
        <w:rPr>
          <w:rFonts w:ascii="Arial" w:hAnsi="Arial" w:cs="Arial"/>
          <w:color w:val="000000"/>
          <w:sz w:val="28"/>
          <w:szCs w:val="28"/>
        </w:rPr>
        <w:t>as</w:t>
      </w:r>
      <w:r w:rsidR="006632D9">
        <w:rPr>
          <w:rFonts w:ascii="Arial" w:hAnsi="Arial" w:cs="Arial"/>
          <w:color w:val="000000"/>
          <w:sz w:val="28"/>
          <w:szCs w:val="28"/>
        </w:rPr>
        <w:t xml:space="preserve"> 14 beekeepers thought that colonies with new queens had survived winter worse.</w:t>
      </w:r>
    </w:p>
    <w:p w:rsidR="003C4680" w:rsidRDefault="008105BC" w:rsidP="003C4680">
      <w:pPr>
        <w:rPr>
          <w:rFonts w:ascii="Arial" w:hAnsi="Arial" w:cs="Arial"/>
          <w:sz w:val="28"/>
          <w:szCs w:val="28"/>
        </w:rPr>
      </w:pPr>
      <w:r w:rsidRPr="008105BC">
        <w:rPr>
          <w:rFonts w:ascii="Arial" w:hAnsi="Arial" w:cs="Arial"/>
          <w:sz w:val="28"/>
          <w:szCs w:val="28"/>
        </w:rPr>
        <w:t xml:space="preserve">84 out of the 93 beekeepers surveyed either monitored or treated their colonies for </w:t>
      </w:r>
      <w:proofErr w:type="spellStart"/>
      <w:r w:rsidRPr="008105BC">
        <w:rPr>
          <w:rFonts w:ascii="Arial" w:hAnsi="Arial" w:cs="Arial"/>
          <w:sz w:val="28"/>
          <w:szCs w:val="28"/>
        </w:rPr>
        <w:t>Varroa</w:t>
      </w:r>
      <w:proofErr w:type="spellEnd"/>
      <w:r w:rsidRPr="008105B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A6C91">
        <w:rPr>
          <w:rFonts w:ascii="Arial" w:hAnsi="Arial" w:cs="Arial"/>
          <w:sz w:val="28"/>
          <w:szCs w:val="28"/>
        </w:rPr>
        <w:t xml:space="preserve">The most popular treatment </w:t>
      </w:r>
      <w:r w:rsidR="00C46311">
        <w:rPr>
          <w:rFonts w:ascii="Arial" w:hAnsi="Arial" w:cs="Arial"/>
          <w:sz w:val="28"/>
          <w:szCs w:val="28"/>
        </w:rPr>
        <w:t xml:space="preserve">was </w:t>
      </w:r>
      <w:proofErr w:type="spellStart"/>
      <w:r w:rsidR="00D31E94">
        <w:rPr>
          <w:rFonts w:ascii="Arial" w:hAnsi="Arial" w:cs="Arial"/>
          <w:sz w:val="28"/>
          <w:szCs w:val="28"/>
        </w:rPr>
        <w:t>Thymol</w:t>
      </w:r>
      <w:proofErr w:type="spellEnd"/>
      <w:r w:rsidR="00FF652B">
        <w:rPr>
          <w:rFonts w:ascii="Arial" w:hAnsi="Arial" w:cs="Arial"/>
          <w:sz w:val="28"/>
          <w:szCs w:val="28"/>
        </w:rPr>
        <w:t xml:space="preserve"> used by </w:t>
      </w:r>
      <w:r w:rsidR="00C46311">
        <w:rPr>
          <w:rFonts w:ascii="Arial" w:hAnsi="Arial" w:cs="Arial"/>
          <w:sz w:val="28"/>
          <w:szCs w:val="28"/>
        </w:rPr>
        <w:t>67%</w:t>
      </w:r>
      <w:r w:rsidR="00D84F62" w:rsidRPr="00D84F62">
        <w:rPr>
          <w:rFonts w:ascii="Arial" w:hAnsi="Arial" w:cs="Arial"/>
          <w:sz w:val="28"/>
          <w:szCs w:val="28"/>
        </w:rPr>
        <w:t xml:space="preserve"> </w:t>
      </w:r>
      <w:r w:rsidR="00D84F62">
        <w:rPr>
          <w:rFonts w:ascii="Arial" w:hAnsi="Arial" w:cs="Arial"/>
          <w:sz w:val="28"/>
          <w:szCs w:val="28"/>
        </w:rPr>
        <w:t>of those surveyed</w:t>
      </w:r>
      <w:r w:rsidR="00C46311" w:rsidRPr="00C46311">
        <w:rPr>
          <w:rFonts w:ascii="Arial" w:hAnsi="Arial" w:cs="Arial"/>
          <w:sz w:val="28"/>
          <w:szCs w:val="28"/>
        </w:rPr>
        <w:t xml:space="preserve"> </w:t>
      </w:r>
      <w:r w:rsidR="006A6C91">
        <w:rPr>
          <w:rFonts w:ascii="Arial" w:hAnsi="Arial" w:cs="Arial"/>
          <w:sz w:val="28"/>
          <w:szCs w:val="28"/>
        </w:rPr>
        <w:t xml:space="preserve">followed by </w:t>
      </w:r>
      <w:r w:rsidR="00C46311">
        <w:rPr>
          <w:rFonts w:ascii="Arial" w:hAnsi="Arial" w:cs="Arial"/>
          <w:sz w:val="28"/>
          <w:szCs w:val="28"/>
        </w:rPr>
        <w:t>Oxalic acid (58%)</w:t>
      </w:r>
      <w:r w:rsidR="00FF652B">
        <w:rPr>
          <w:rFonts w:ascii="Arial" w:hAnsi="Arial" w:cs="Arial"/>
          <w:sz w:val="28"/>
          <w:szCs w:val="28"/>
        </w:rPr>
        <w:t>.</w:t>
      </w:r>
      <w:r w:rsidR="00C46311">
        <w:rPr>
          <w:rFonts w:ascii="Arial" w:hAnsi="Arial" w:cs="Arial"/>
          <w:sz w:val="28"/>
          <w:szCs w:val="28"/>
        </w:rPr>
        <w:t xml:space="preserve"> Mite away quick strips (MAQS) </w:t>
      </w:r>
      <w:r w:rsidR="00D84F62">
        <w:rPr>
          <w:rFonts w:ascii="Arial" w:hAnsi="Arial" w:cs="Arial"/>
          <w:sz w:val="28"/>
          <w:szCs w:val="28"/>
        </w:rPr>
        <w:t>were used by 21%.</w:t>
      </w:r>
    </w:p>
    <w:p w:rsidR="00D84F62" w:rsidRDefault="00D84F62" w:rsidP="003C4680">
      <w:pPr>
        <w:rPr>
          <w:rFonts w:ascii="Arial" w:hAnsi="Arial" w:cs="Arial"/>
          <w:sz w:val="28"/>
          <w:szCs w:val="28"/>
        </w:rPr>
      </w:pPr>
    </w:p>
    <w:p w:rsidR="00DE3FB0" w:rsidRPr="00472785" w:rsidRDefault="00472785" w:rsidP="00472785">
      <w:pPr>
        <w:pStyle w:val="Default"/>
      </w:pPr>
      <w:r w:rsidRPr="00472785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22F78">
        <w:rPr>
          <w:rFonts w:ascii="Arial" w:hAnsi="Arial" w:cs="Arial"/>
          <w:sz w:val="28"/>
          <w:szCs w:val="28"/>
        </w:rPr>
        <w:t xml:space="preserve">Data </w:t>
      </w:r>
      <w:r>
        <w:rPr>
          <w:rFonts w:ascii="Arial" w:hAnsi="Arial" w:cs="Arial"/>
          <w:sz w:val="28"/>
          <w:szCs w:val="28"/>
        </w:rPr>
        <w:t>provided by</w:t>
      </w:r>
      <w:r w:rsidRPr="00472785">
        <w:rPr>
          <w:rFonts w:ascii="Arial" w:hAnsi="Arial" w:cs="Arial"/>
          <w:sz w:val="28"/>
          <w:szCs w:val="28"/>
        </w:rPr>
        <w:t xml:space="preserve"> the Europe</w:t>
      </w:r>
      <w:r w:rsidRPr="00472785">
        <w:rPr>
          <w:rFonts w:ascii="Cambria Math" w:hAnsi="Cambria Math" w:cs="Arial"/>
          <w:sz w:val="28"/>
          <w:szCs w:val="28"/>
        </w:rPr>
        <w:t>‐</w:t>
      </w:r>
      <w:r w:rsidRPr="00472785">
        <w:rPr>
          <w:rFonts w:ascii="Arial" w:hAnsi="Arial" w:cs="Arial"/>
          <w:sz w:val="28"/>
          <w:szCs w:val="28"/>
        </w:rPr>
        <w:t>wide COLOSS project</w:t>
      </w:r>
      <w:r w:rsidR="00734DFF">
        <w:rPr>
          <w:rFonts w:ascii="Arial" w:hAnsi="Arial" w:cs="Arial"/>
          <w:sz w:val="28"/>
          <w:szCs w:val="28"/>
        </w:rPr>
        <w:t>.</w:t>
      </w:r>
    </w:p>
    <w:sectPr w:rsidR="00DE3FB0" w:rsidRPr="00472785" w:rsidSect="00B95A9A">
      <w:headerReference w:type="default" r:id="rId6"/>
      <w:footerReference w:type="default" r:id="rId7"/>
      <w:pgSz w:w="11900" w:h="16840"/>
      <w:pgMar w:top="2694" w:right="1134" w:bottom="426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8D" w:rsidRDefault="00423C8D">
      <w:r>
        <w:separator/>
      </w:r>
    </w:p>
  </w:endnote>
  <w:endnote w:type="continuationSeparator" w:id="0">
    <w:p w:rsidR="00423C8D" w:rsidRDefault="0042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4E" w:rsidRDefault="0082774E">
    <w:pPr>
      <w:pStyle w:val="Footer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8D" w:rsidRDefault="00423C8D">
      <w:r>
        <w:separator/>
      </w:r>
    </w:p>
  </w:footnote>
  <w:footnote w:type="continuationSeparator" w:id="0">
    <w:p w:rsidR="00423C8D" w:rsidRDefault="0042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4E" w:rsidRDefault="00820290">
    <w:pPr>
      <w:pStyle w:val="Header"/>
      <w:ind w:left="-1134" w:right="-1134"/>
    </w:pPr>
    <w:r w:rsidRPr="00820290">
      <w:rPr>
        <w:szCs w:val="20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4.75pt;margin-top:81.6pt;width:196.95pt;height:81pt;z-index:251657728" stroked="f">
          <v:textbox style="mso-next-textbox:#_x0000_s2049" inset="0,0,0,0">
            <w:txbxContent>
              <w:p w:rsidR="0082774E" w:rsidRPr="002B3693" w:rsidRDefault="0082774E" w:rsidP="002B3693"/>
            </w:txbxContent>
          </v:textbox>
        </v:shape>
      </w:pict>
    </w:r>
    <w:r w:rsidR="00E36891">
      <w:rPr>
        <w:noProof/>
        <w:lang w:eastAsia="en-GB"/>
      </w:rPr>
      <w:drawing>
        <wp:inline distT="0" distB="0" distL="0" distR="0">
          <wp:extent cx="6692900" cy="1866900"/>
          <wp:effectExtent l="19050" t="0" r="0" b="0"/>
          <wp:docPr id="1" name="Picture 1" descr="header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B7F"/>
    <w:rsid w:val="00041169"/>
    <w:rsid w:val="00043731"/>
    <w:rsid w:val="00083444"/>
    <w:rsid w:val="00093B6B"/>
    <w:rsid w:val="000A0644"/>
    <w:rsid w:val="000D7DD4"/>
    <w:rsid w:val="0014313A"/>
    <w:rsid w:val="00163DFA"/>
    <w:rsid w:val="001914AF"/>
    <w:rsid w:val="00214085"/>
    <w:rsid w:val="002625C6"/>
    <w:rsid w:val="002B12A5"/>
    <w:rsid w:val="002B3693"/>
    <w:rsid w:val="002B3BBA"/>
    <w:rsid w:val="002C0541"/>
    <w:rsid w:val="003829A7"/>
    <w:rsid w:val="003C4680"/>
    <w:rsid w:val="003D001E"/>
    <w:rsid w:val="003F30D2"/>
    <w:rsid w:val="00422F78"/>
    <w:rsid w:val="00423C8D"/>
    <w:rsid w:val="004341D2"/>
    <w:rsid w:val="00472785"/>
    <w:rsid w:val="00495682"/>
    <w:rsid w:val="00517412"/>
    <w:rsid w:val="0053641C"/>
    <w:rsid w:val="00580000"/>
    <w:rsid w:val="005C5EFF"/>
    <w:rsid w:val="005C6430"/>
    <w:rsid w:val="005D4B0F"/>
    <w:rsid w:val="005F0ADF"/>
    <w:rsid w:val="00601D80"/>
    <w:rsid w:val="00647E8A"/>
    <w:rsid w:val="00660B7F"/>
    <w:rsid w:val="006630C9"/>
    <w:rsid w:val="006632D9"/>
    <w:rsid w:val="0066682E"/>
    <w:rsid w:val="006970AA"/>
    <w:rsid w:val="006A6C91"/>
    <w:rsid w:val="00734DFF"/>
    <w:rsid w:val="007A3625"/>
    <w:rsid w:val="008105BC"/>
    <w:rsid w:val="00820290"/>
    <w:rsid w:val="0082774E"/>
    <w:rsid w:val="008C3410"/>
    <w:rsid w:val="00910AE1"/>
    <w:rsid w:val="00920AD1"/>
    <w:rsid w:val="00961317"/>
    <w:rsid w:val="009D595E"/>
    <w:rsid w:val="00A71C97"/>
    <w:rsid w:val="00A96567"/>
    <w:rsid w:val="00AA218D"/>
    <w:rsid w:val="00AA487D"/>
    <w:rsid w:val="00AE7F37"/>
    <w:rsid w:val="00AF3EB2"/>
    <w:rsid w:val="00B50188"/>
    <w:rsid w:val="00B70E8B"/>
    <w:rsid w:val="00B95A9A"/>
    <w:rsid w:val="00BA3D9F"/>
    <w:rsid w:val="00BC24FB"/>
    <w:rsid w:val="00C11326"/>
    <w:rsid w:val="00C41159"/>
    <w:rsid w:val="00C46311"/>
    <w:rsid w:val="00C65C5A"/>
    <w:rsid w:val="00D31067"/>
    <w:rsid w:val="00D31E94"/>
    <w:rsid w:val="00D66A42"/>
    <w:rsid w:val="00D84F62"/>
    <w:rsid w:val="00DE3FB0"/>
    <w:rsid w:val="00E026C8"/>
    <w:rsid w:val="00E36891"/>
    <w:rsid w:val="00E73538"/>
    <w:rsid w:val="00EB4964"/>
    <w:rsid w:val="00F17452"/>
    <w:rsid w:val="00F8327D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E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AE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B36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B3693"/>
    <w:rPr>
      <w:rFonts w:cs="Times New Roman"/>
      <w:color w:val="auto"/>
    </w:rPr>
  </w:style>
  <w:style w:type="table" w:styleId="TableGrid">
    <w:name w:val="Table Grid"/>
    <w:basedOn w:val="TableNormal"/>
    <w:rsid w:val="002B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2B369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C6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30"/>
    <w:rPr>
      <w:rFonts w:ascii="Tahoma" w:hAnsi="Tahoma" w:cs="Tahoma"/>
      <w:sz w:val="16"/>
      <w:szCs w:val="16"/>
      <w:lang w:eastAsia="en-US"/>
    </w:rPr>
  </w:style>
  <w:style w:type="paragraph" w:customStyle="1" w:styleId="CM14">
    <w:name w:val="CM14"/>
    <w:basedOn w:val="Default"/>
    <w:next w:val="Default"/>
    <w:uiPriority w:val="99"/>
    <w:rsid w:val="003C4680"/>
    <w:rPr>
      <w:rFonts w:ascii="Times" w:hAnsi="Times" w:cs="Times"/>
      <w:color w:val="auto"/>
    </w:rPr>
  </w:style>
  <w:style w:type="paragraph" w:styleId="ListParagraph">
    <w:name w:val="List Paragraph"/>
    <w:basedOn w:val="Normal"/>
    <w:uiPriority w:val="34"/>
    <w:qFormat/>
    <w:rsid w:val="0047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template for electronic documents</vt:lpstr>
    </vt:vector>
  </TitlesOfParts>
  <Company>Agri-food and Biosciences Institute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template for electronic documents</dc:title>
  <dc:creator>Michael Robinson</dc:creator>
  <cp:lastModifiedBy>Ivan Forsythe</cp:lastModifiedBy>
  <cp:revision>23</cp:revision>
  <cp:lastPrinted>2006-04-04T08:28:00Z</cp:lastPrinted>
  <dcterms:created xsi:type="dcterms:W3CDTF">2016-07-07T08:58:00Z</dcterms:created>
  <dcterms:modified xsi:type="dcterms:W3CDTF">2016-08-19T14:08:00Z</dcterms:modified>
</cp:coreProperties>
</file>